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2023年市政协提案参考选题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ind w:left="643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一、经济建设方面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1.关于深入推进西露天矿及采煤影响区综合治理与整合利用的建议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2.关于推进抚顺融入沈阳现代化都市圈的建议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3.关于建设辽东绿色经济先导区的建议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4.关于“让水活起来、做足水文章”方面的具体建议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5.关于推进全省最重要的水源生态涵养基地建设的建议</w:t>
      </w:r>
      <w:bookmarkStart w:id="0" w:name="_GoBack"/>
      <w:bookmarkEnd w:id="0"/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6.关于营造市场化、法治化、国际化营商环境的建议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7.关于发展实体经济的建议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8.关于加快发展数字经济的建议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</w:t>
      </w:r>
      <w:r>
        <w:rPr>
          <w:rFonts w:ascii="仿宋" w:hAnsi="仿宋" w:eastAsia="仿宋"/>
          <w:sz w:val="32"/>
          <w:szCs w:val="32"/>
        </w:rPr>
        <w:t>关于进一步推进园区建设的建议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</w:t>
      </w:r>
      <w:r>
        <w:rPr>
          <w:rFonts w:ascii="仿宋" w:hAnsi="仿宋" w:eastAsia="仿宋"/>
          <w:sz w:val="32"/>
          <w:szCs w:val="32"/>
        </w:rPr>
        <w:t>关于大力发展战略性新兴产业的建议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</w:t>
      </w:r>
      <w:r>
        <w:rPr>
          <w:rFonts w:ascii="仿宋" w:hAnsi="仿宋" w:eastAsia="仿宋"/>
          <w:sz w:val="32"/>
          <w:szCs w:val="32"/>
        </w:rPr>
        <w:t>关于加快民营经济发展的建议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</w:t>
      </w:r>
      <w:r>
        <w:rPr>
          <w:rFonts w:ascii="仿宋" w:hAnsi="仿宋" w:eastAsia="仿宋"/>
          <w:sz w:val="32"/>
          <w:szCs w:val="32"/>
        </w:rPr>
        <w:t>关于盘活</w:t>
      </w:r>
      <w:r>
        <w:rPr>
          <w:rFonts w:hint="eastAsia" w:ascii="仿宋" w:hAnsi="仿宋" w:eastAsia="仿宋"/>
          <w:sz w:val="32"/>
          <w:szCs w:val="32"/>
        </w:rPr>
        <w:t>XXX</w:t>
      </w:r>
      <w:r>
        <w:rPr>
          <w:rFonts w:ascii="仿宋" w:hAnsi="仿宋" w:eastAsia="仿宋"/>
          <w:sz w:val="32"/>
          <w:szCs w:val="32"/>
        </w:rPr>
        <w:t>闲置资产的建议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</w:t>
      </w:r>
      <w:r>
        <w:rPr>
          <w:rFonts w:ascii="仿宋" w:hAnsi="仿宋" w:eastAsia="仿宋"/>
          <w:sz w:val="32"/>
          <w:szCs w:val="32"/>
        </w:rPr>
        <w:t>关于大力推进项目建设的建议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</w:t>
      </w:r>
      <w:r>
        <w:rPr>
          <w:rFonts w:ascii="仿宋" w:hAnsi="仿宋" w:eastAsia="仿宋"/>
          <w:sz w:val="32"/>
          <w:szCs w:val="32"/>
        </w:rPr>
        <w:t>关于积极促进消费的建议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</w:t>
      </w:r>
      <w:r>
        <w:rPr>
          <w:rFonts w:ascii="仿宋" w:hAnsi="仿宋" w:eastAsia="仿宋"/>
          <w:sz w:val="32"/>
          <w:szCs w:val="32"/>
        </w:rPr>
        <w:t>关于推进和完善“万人进万企”工作的建议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ascii="仿宋" w:hAnsi="仿宋" w:eastAsia="仿宋"/>
          <w:sz w:val="32"/>
          <w:szCs w:val="32"/>
        </w:rPr>
        <w:t>关于加强企业家队伍建设、弘扬企业家精神的建议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</w:t>
      </w:r>
      <w:r>
        <w:rPr>
          <w:rFonts w:ascii="仿宋" w:hAnsi="仿宋" w:eastAsia="仿宋"/>
          <w:sz w:val="32"/>
          <w:szCs w:val="32"/>
        </w:rPr>
        <w:t>关于推进央企与地方合作的建议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</w:t>
      </w:r>
      <w:r>
        <w:rPr>
          <w:rFonts w:ascii="仿宋" w:hAnsi="仿宋" w:eastAsia="仿宋"/>
          <w:sz w:val="32"/>
          <w:szCs w:val="32"/>
        </w:rPr>
        <w:t>关于深化国有企业混合所有制改革的建议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</w:t>
      </w:r>
      <w:r>
        <w:rPr>
          <w:rFonts w:ascii="仿宋" w:hAnsi="仿宋" w:eastAsia="仿宋"/>
          <w:sz w:val="32"/>
          <w:szCs w:val="32"/>
        </w:rPr>
        <w:t>关于有效开展“碳达峰”行动方面的建议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</w:t>
      </w:r>
      <w:r>
        <w:rPr>
          <w:rFonts w:ascii="仿宋" w:hAnsi="仿宋" w:eastAsia="仿宋"/>
          <w:sz w:val="32"/>
          <w:szCs w:val="32"/>
        </w:rPr>
        <w:t>关于做好升级改造“老字号”、深度开发“原字号”、培育壮大“新字号”的建议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</w:t>
      </w:r>
      <w:r>
        <w:rPr>
          <w:rFonts w:ascii="仿宋" w:hAnsi="仿宋" w:eastAsia="仿宋"/>
          <w:sz w:val="32"/>
          <w:szCs w:val="32"/>
        </w:rPr>
        <w:t>关于发展高端精细化工产业的建议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</w:t>
      </w:r>
      <w:r>
        <w:rPr>
          <w:rFonts w:ascii="仿宋" w:hAnsi="仿宋" w:eastAsia="仿宋"/>
          <w:sz w:val="32"/>
          <w:szCs w:val="32"/>
        </w:rPr>
        <w:t>关于发展冶金高端新材料产业的建议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</w:t>
      </w:r>
      <w:r>
        <w:rPr>
          <w:rFonts w:ascii="仿宋" w:hAnsi="仿宋" w:eastAsia="仿宋"/>
          <w:sz w:val="32"/>
          <w:szCs w:val="32"/>
        </w:rPr>
        <w:t>关于发展先进装备制造产业的建议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</w:t>
      </w:r>
      <w:r>
        <w:rPr>
          <w:rFonts w:ascii="仿宋" w:hAnsi="仿宋" w:eastAsia="仿宋"/>
          <w:sz w:val="32"/>
          <w:szCs w:val="32"/>
        </w:rPr>
        <w:t>关于发展新型清洁能源产业的建议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</w:t>
      </w:r>
      <w:r>
        <w:rPr>
          <w:rFonts w:ascii="仿宋" w:hAnsi="仿宋" w:eastAsia="仿宋"/>
          <w:sz w:val="32"/>
          <w:szCs w:val="32"/>
        </w:rPr>
        <w:t>关于老旧小区改造与配套升级的建议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</w:t>
      </w:r>
      <w:r>
        <w:rPr>
          <w:rFonts w:ascii="仿宋" w:hAnsi="仿宋" w:eastAsia="仿宋"/>
          <w:sz w:val="32"/>
          <w:szCs w:val="32"/>
        </w:rPr>
        <w:t>关于加快培育各种创新主体的建议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</w:t>
      </w:r>
      <w:r>
        <w:rPr>
          <w:rFonts w:ascii="仿宋" w:hAnsi="仿宋" w:eastAsia="仿宋"/>
          <w:sz w:val="32"/>
          <w:szCs w:val="32"/>
        </w:rPr>
        <w:t>关于建设数字政府、数字社区、数字产业的建议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</w:t>
      </w:r>
      <w:r>
        <w:rPr>
          <w:rFonts w:ascii="仿宋" w:hAnsi="仿宋" w:eastAsia="仿宋"/>
          <w:sz w:val="32"/>
          <w:szCs w:val="32"/>
        </w:rPr>
        <w:t>关于进一步加强招商引资工作的建议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</w:t>
      </w:r>
      <w:r>
        <w:rPr>
          <w:rFonts w:ascii="仿宋" w:hAnsi="仿宋" w:eastAsia="仿宋"/>
          <w:sz w:val="32"/>
          <w:szCs w:val="32"/>
        </w:rPr>
        <w:t>关于加快发展我市康养、家政等生活性服务业的建议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</w:t>
      </w:r>
      <w:r>
        <w:rPr>
          <w:rFonts w:ascii="仿宋" w:hAnsi="仿宋" w:eastAsia="仿宋"/>
          <w:sz w:val="32"/>
          <w:szCs w:val="32"/>
        </w:rPr>
        <w:t>关于培育发展服务新业态、新模式的建议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</w:t>
      </w:r>
      <w:r>
        <w:rPr>
          <w:rFonts w:ascii="仿宋" w:hAnsi="仿宋" w:eastAsia="仿宋"/>
          <w:sz w:val="32"/>
          <w:szCs w:val="32"/>
        </w:rPr>
        <w:t>关于继续推动我市冰雪经济发展的建议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</w:t>
      </w:r>
      <w:r>
        <w:rPr>
          <w:rFonts w:ascii="仿宋" w:hAnsi="仿宋" w:eastAsia="仿宋"/>
          <w:sz w:val="32"/>
          <w:szCs w:val="32"/>
        </w:rPr>
        <w:t>关于深化科技体制改革、促进科技成果转化的建议</w:t>
      </w:r>
    </w:p>
    <w:p>
      <w:pPr>
        <w:tabs>
          <w:tab w:val="left" w:pos="312"/>
        </w:tabs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33.关于全面构建亲清政商关系的建议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34.关于提高防范化解重大风险能力、严密防范系统性安全风险的建议</w:t>
      </w:r>
    </w:p>
    <w:p>
      <w:pPr>
        <w:ind w:firstLine="642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二、乡村振兴方面：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35.关于扎实推动乡村产业、人才、文化、生态、组织振兴的建议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36.关于发展设施农业、乡村特色产业的建议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37.关于建设宜居宜业和美乡村的建议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38.关于发展新型农村集体经济的建议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39.关于拓宽农民增收致富渠道的建议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40.关于发展新型农业经营主体和社会化服务的建议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41.发展关于农业适度规模经营的建议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42.</w:t>
      </w:r>
      <w:r>
        <w:rPr>
          <w:rFonts w:ascii="仿宋" w:hAnsi="仿宋" w:eastAsia="仿宋"/>
          <w:sz w:val="32"/>
          <w:szCs w:val="32"/>
        </w:rPr>
        <w:t>关于引领扶持农村电商健康发展的建议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43.</w:t>
      </w:r>
      <w:r>
        <w:rPr>
          <w:rFonts w:ascii="仿宋" w:hAnsi="仿宋" w:eastAsia="仿宋"/>
          <w:sz w:val="32"/>
          <w:szCs w:val="32"/>
        </w:rPr>
        <w:t>关于深化农业供给侧结构性改革、加速推进抚顺农业产业化升级的建议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44.</w:t>
      </w:r>
      <w:r>
        <w:rPr>
          <w:rFonts w:ascii="仿宋" w:hAnsi="仿宋" w:eastAsia="仿宋"/>
          <w:sz w:val="32"/>
          <w:szCs w:val="32"/>
        </w:rPr>
        <w:t>关于大力发展生态农业和农产品加工业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45.</w:t>
      </w:r>
      <w:r>
        <w:rPr>
          <w:rFonts w:ascii="仿宋" w:hAnsi="仿宋" w:eastAsia="仿宋"/>
          <w:sz w:val="32"/>
          <w:szCs w:val="32"/>
        </w:rPr>
        <w:t>关于加强抚顺农产品品牌建设的建议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46.</w:t>
      </w:r>
      <w:r>
        <w:rPr>
          <w:rFonts w:ascii="仿宋" w:hAnsi="仿宋" w:eastAsia="仿宋"/>
          <w:sz w:val="32"/>
          <w:szCs w:val="32"/>
        </w:rPr>
        <w:t>关于完善农村基础设施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47.</w:t>
      </w:r>
      <w:r>
        <w:rPr>
          <w:rFonts w:ascii="仿宋" w:hAnsi="仿宋" w:eastAsia="仿宋"/>
          <w:sz w:val="32"/>
          <w:szCs w:val="32"/>
        </w:rPr>
        <w:t>关于发展特色小镇的建议</w:t>
      </w:r>
    </w:p>
    <w:p>
      <w:pPr>
        <w:ind w:left="643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三、科教文卫体方面：</w:t>
      </w:r>
    </w:p>
    <w:p>
      <w:pPr>
        <w:ind w:left="643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48.</w:t>
      </w:r>
      <w:r>
        <w:rPr>
          <w:rFonts w:ascii="仿宋" w:hAnsi="仿宋" w:eastAsia="仿宋"/>
          <w:sz w:val="32"/>
          <w:szCs w:val="32"/>
        </w:rPr>
        <w:t>关于加强雷锋城建设、赓续好雷锋精神的建议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49.</w:t>
      </w:r>
      <w:r>
        <w:rPr>
          <w:rFonts w:ascii="仿宋" w:hAnsi="仿宋" w:eastAsia="仿宋"/>
          <w:sz w:val="32"/>
          <w:szCs w:val="32"/>
        </w:rPr>
        <w:t>关于发挥人才引领驱动作用、营造拴心留人良好环境的建议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50.</w:t>
      </w:r>
      <w:r>
        <w:rPr>
          <w:rFonts w:ascii="仿宋" w:hAnsi="仿宋" w:eastAsia="仿宋"/>
          <w:sz w:val="32"/>
          <w:szCs w:val="32"/>
        </w:rPr>
        <w:t>关于推动职业教育实用高效发展的建议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51.关于发展素质教育、促进教育公平的建议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52.关于推进职普融通、产教融合、科教融汇的建议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53.关于加强师德师风建设的建议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54.关于弘扬尊师重教社会风尚的建议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55.关于</w:t>
      </w:r>
      <w:r>
        <w:rPr>
          <w:rFonts w:ascii="仿宋" w:hAnsi="仿宋" w:eastAsia="仿宋"/>
          <w:sz w:val="32"/>
          <w:szCs w:val="32"/>
        </w:rPr>
        <w:t>深入实施人才强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战略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56.关于用好红色资源、深入开展社会主义核心价值观宣传教育的建议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57.关于弘扬中华传统美德、加强家庭家教家风建设的建议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58.关于加强和改进未成年人思想道德建设的建议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59.关于弘扬劳动精神、奋斗精神、奉献精神、创造精神、勤俭节约精神，培育时代新风新貌的建议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60.关于深化全民阅读活动的建议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61.关于弘扬诚信文化的建议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62.关于健全现代公共文化服务体系、</w:t>
      </w:r>
      <w:r>
        <w:rPr>
          <w:rFonts w:ascii="仿宋" w:hAnsi="仿宋" w:eastAsia="仿宋"/>
          <w:sz w:val="32"/>
          <w:szCs w:val="32"/>
        </w:rPr>
        <w:t>创新实施文化惠民工程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63.关于</w:t>
      </w:r>
      <w:r>
        <w:rPr>
          <w:rFonts w:ascii="仿宋" w:hAnsi="仿宋" w:eastAsia="仿宋"/>
          <w:sz w:val="32"/>
          <w:szCs w:val="32"/>
        </w:rPr>
        <w:t>加大文物和文化遗产保护力度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64.关于</w:t>
      </w:r>
      <w:r>
        <w:rPr>
          <w:rFonts w:ascii="仿宋" w:hAnsi="仿宋" w:eastAsia="仿宋"/>
          <w:sz w:val="32"/>
          <w:szCs w:val="32"/>
        </w:rPr>
        <w:t>坚持以文塑旅、以旅彰文，推进文化和旅游深度融合发展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65.关于</w:t>
      </w:r>
      <w:r>
        <w:rPr>
          <w:rFonts w:ascii="仿宋" w:hAnsi="仿宋" w:eastAsia="仿宋"/>
          <w:sz w:val="32"/>
          <w:szCs w:val="32"/>
        </w:rPr>
        <w:t>广泛开展全民健身活动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66.关于</w:t>
      </w:r>
      <w:r>
        <w:rPr>
          <w:rFonts w:ascii="仿宋" w:hAnsi="仿宋" w:eastAsia="仿宋"/>
          <w:sz w:val="32"/>
          <w:szCs w:val="32"/>
        </w:rPr>
        <w:t>加强青少年体育工作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67.</w:t>
      </w:r>
      <w:r>
        <w:rPr>
          <w:rFonts w:ascii="仿宋" w:hAnsi="仿宋" w:eastAsia="仿宋"/>
          <w:sz w:val="32"/>
          <w:szCs w:val="32"/>
        </w:rPr>
        <w:t>关于讲好抚顺故事、传播抚顺好声音、提升文化软实力的建议</w:t>
      </w:r>
    </w:p>
    <w:p>
      <w:pPr>
        <w:ind w:left="643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四、社会保障方面：</w:t>
      </w:r>
    </w:p>
    <w:p>
      <w:pPr>
        <w:pStyle w:val="4"/>
        <w:tabs>
          <w:tab w:val="left" w:pos="312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68.</w:t>
      </w:r>
      <w:r>
        <w:rPr>
          <w:rFonts w:ascii="仿宋" w:hAnsi="仿宋" w:eastAsia="仿宋"/>
          <w:sz w:val="32"/>
          <w:szCs w:val="32"/>
        </w:rPr>
        <w:t>关于大力发展养老服务业的建议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69.</w:t>
      </w:r>
      <w:r>
        <w:rPr>
          <w:rFonts w:ascii="仿宋" w:hAnsi="仿宋" w:eastAsia="仿宋"/>
          <w:sz w:val="32"/>
          <w:szCs w:val="32"/>
        </w:rPr>
        <w:t>关于抓好重点群体就业创业工作的建议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70.关于健全就业公共服务体系、加强困难群体就业兜底帮扶工作的建议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71.关于加强灵活就业和新就业形态劳动者权益保障的建议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72.关于完善残疾人社会保障制度和关爱服务体系、促进残疾人事业全面发展的建议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73.关于</w:t>
      </w:r>
      <w:r>
        <w:rPr>
          <w:rFonts w:ascii="仿宋" w:hAnsi="仿宋" w:eastAsia="仿宋"/>
          <w:sz w:val="32"/>
          <w:szCs w:val="32"/>
        </w:rPr>
        <w:t>优化孤寡老人服务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ind w:left="643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五、社会治理方面：</w:t>
      </w:r>
    </w:p>
    <w:p>
      <w:pPr>
        <w:pStyle w:val="4"/>
        <w:tabs>
          <w:tab w:val="left" w:pos="312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74.关于加强文明城市创建工作的建议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75.关于进一步推进扫黑除恶常态化机制化的建议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76.关于完善办事公开制度、拓宽基层各类群体有序参与基层治理渠道的建议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77.关于提高行政效率和公信力的建议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78.关于加大关系群众切身利益的重点领域执法力度的建议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79.关于严格落实行政执法责任制和责任追究制度的建议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80.关于</w:t>
      </w:r>
      <w:r>
        <w:rPr>
          <w:rFonts w:ascii="仿宋" w:hAnsi="仿宋" w:eastAsia="仿宋"/>
          <w:sz w:val="32"/>
          <w:szCs w:val="32"/>
        </w:rPr>
        <w:t>严格公正司法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81.关于加快推进市域社会治理现代化、提高市域社会治理能力的建议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82.关于加强食品安全监督等方面的建议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83.关于加强药品安全监督等方面的建议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84.关于完善志愿服务制度和工作体系的建议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85.关于健全公共卫生体系、提高重大疫情早发现能力、加强重大疫情防控救治体系和应急能力建设的建议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86.关于提高防灾减灾救灾和重大突发公共事件处置保障能力的建议</w:t>
      </w:r>
    </w:p>
    <w:p>
      <w:pPr>
        <w:ind w:firstLine="642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六、生态保护方面：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87.关于实施全面节约战略的建议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88.关于发展绿色低碳产业的建议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89.关于倡导绿色消费、推动形成绿色低碳的生产方式和生活方式的建议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90.关于持续深入打好蓝天、碧水、净土保卫战的建议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91.关于建立生态产品价值实现机制、完善生态保护补偿制度的建议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92.关于提升生态系统碳汇能力的建议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93.</w:t>
      </w:r>
      <w:r>
        <w:rPr>
          <w:rFonts w:ascii="仿宋" w:hAnsi="仿宋" w:eastAsia="仿宋"/>
          <w:sz w:val="32"/>
          <w:szCs w:val="32"/>
        </w:rPr>
        <w:t>关于推进建筑业绿色发展的建议</w:t>
      </w:r>
    </w:p>
    <w:p>
      <w:pPr>
        <w:ind w:firstLine="4320" w:firstLineChars="1350"/>
        <w:jc w:val="lef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822A"/>
    <w:rsid w:val="4FEE822A"/>
    <w:rsid w:val="7BEEA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2022-11-15T16:03:00Z</dcterms:created>
  <dc:creator>fushunshi</dc:creator>
  <cp:lastModifiedBy>fushunshi</cp:lastModifiedBy>
  <dcterms:modified xsi:type="dcterms:W3CDTF">2022-11-15T16:14:25Z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